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E396" w14:textId="76AABF28" w:rsidR="0076734F" w:rsidRPr="00A616AE" w:rsidRDefault="0076734F" w:rsidP="0076734F">
      <w:pPr>
        <w:pStyle w:val="Nzev"/>
        <w:rPr>
          <w:rFonts w:asciiTheme="minorHAnsi" w:hAnsiTheme="minorHAnsi" w:cstheme="minorHAnsi"/>
          <w:sz w:val="24"/>
          <w:szCs w:val="24"/>
        </w:rPr>
      </w:pPr>
      <w:bookmarkStart w:id="0" w:name="_Hlk214104581"/>
      <w:bookmarkStart w:id="1" w:name="_Hlk55747584"/>
      <w:r w:rsidRPr="00A616AE">
        <w:rPr>
          <w:rFonts w:asciiTheme="minorHAnsi" w:hAnsiTheme="minorHAnsi" w:cstheme="minorHAnsi"/>
          <w:sz w:val="40"/>
          <w:szCs w:val="40"/>
        </w:rPr>
        <w:t xml:space="preserve">Smlouva </w:t>
      </w:r>
      <w:bookmarkStart w:id="2" w:name="Počátek"/>
      <w:bookmarkEnd w:id="2"/>
      <w:r w:rsidRPr="00A616AE">
        <w:rPr>
          <w:rFonts w:asciiTheme="minorHAnsi" w:hAnsiTheme="minorHAnsi" w:cstheme="minorHAnsi"/>
          <w:sz w:val="40"/>
          <w:szCs w:val="40"/>
        </w:rPr>
        <w:t>o postoupení pohledávky</w:t>
      </w:r>
    </w:p>
    <w:p w14:paraId="5DD6E58E" w14:textId="77777777" w:rsidR="0076734F" w:rsidRPr="00A616AE" w:rsidRDefault="0076734F" w:rsidP="0076734F">
      <w:pPr>
        <w:pStyle w:val="Podnadpis"/>
        <w:rPr>
          <w:rFonts w:asciiTheme="minorHAnsi" w:hAnsiTheme="minorHAnsi" w:cstheme="minorHAnsi"/>
          <w:sz w:val="24"/>
          <w:szCs w:val="24"/>
        </w:rPr>
      </w:pPr>
    </w:p>
    <w:p w14:paraId="1831604A" w14:textId="24D40EF7" w:rsidR="0076734F" w:rsidRPr="00860CC5" w:rsidRDefault="0076734F" w:rsidP="0076734F">
      <w:pPr>
        <w:pStyle w:val="Podnadpis"/>
        <w:rPr>
          <w:rFonts w:asciiTheme="minorHAnsi" w:hAnsiTheme="minorHAnsi" w:cstheme="minorHAnsi"/>
          <w:b w:val="0"/>
          <w:bCs w:val="0"/>
          <w:i/>
          <w:iCs/>
          <w:sz w:val="20"/>
        </w:rPr>
      </w:pPr>
      <w:r w:rsidRPr="00860CC5">
        <w:rPr>
          <w:rFonts w:asciiTheme="minorHAnsi" w:hAnsiTheme="minorHAnsi" w:cstheme="minorHAnsi"/>
          <w:b w:val="0"/>
          <w:bCs w:val="0"/>
          <w:i/>
          <w:iCs/>
          <w:sz w:val="20"/>
        </w:rPr>
        <w:t>uzavřená dále uvedeného dne, měsíce a roku dle § 1879 a násl. zákona č. 89/2012 Sb., zákon Občanský zákoník, v platném znění (dále jen „občanský zákoník“), takto:</w:t>
      </w:r>
    </w:p>
    <w:bookmarkEnd w:id="0"/>
    <w:p w14:paraId="3947B958" w14:textId="2079DA49" w:rsidR="0076734F" w:rsidRPr="00A616AE" w:rsidRDefault="00860CC5" w:rsidP="00FB2CD4">
      <w:pPr>
        <w:pStyle w:val="Nadpis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6734F" w:rsidRPr="00A616AE">
        <w:rPr>
          <w:rFonts w:asciiTheme="minorHAnsi" w:hAnsiTheme="minorHAnsi" w:cstheme="minorHAnsi"/>
        </w:rPr>
        <w:t>Účastníci</w:t>
      </w:r>
    </w:p>
    <w:p w14:paraId="2A208CBB" w14:textId="77777777" w:rsidR="00830A00" w:rsidRPr="00A616AE" w:rsidRDefault="0076734F" w:rsidP="00830A00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b/>
          <w:sz w:val="20"/>
        </w:rPr>
        <w:t xml:space="preserve">Městská část Praha </w:t>
      </w:r>
      <w:smartTag w:uri="urn:schemas-microsoft-com:office:smarttags" w:element="metricconverter">
        <w:smartTagPr>
          <w:attr w:name="ProductID" w:val="14, a"/>
        </w:smartTagPr>
        <w:r w:rsidRPr="00A616AE">
          <w:rPr>
            <w:rFonts w:asciiTheme="minorHAnsi" w:hAnsiTheme="minorHAnsi" w:cstheme="minorHAnsi"/>
            <w:b/>
            <w:sz w:val="20"/>
          </w:rPr>
          <w:t>14, a</w:t>
        </w:r>
      </w:smartTag>
      <w:r w:rsidRPr="00A616AE">
        <w:rPr>
          <w:rFonts w:asciiTheme="minorHAnsi" w:hAnsiTheme="minorHAnsi" w:cstheme="minorHAnsi"/>
          <w:b/>
          <w:sz w:val="20"/>
        </w:rPr>
        <w:t xml:space="preserve">.s., </w:t>
      </w:r>
      <w:r w:rsidRPr="00A616AE">
        <w:rPr>
          <w:rFonts w:asciiTheme="minorHAnsi" w:hAnsiTheme="minorHAnsi" w:cstheme="minorHAnsi"/>
          <w:sz w:val="20"/>
        </w:rPr>
        <w:t>se sídlem Bratří Venclíků 1073/8, 198 00 Praha 9,</w:t>
      </w:r>
      <w:r w:rsidRPr="00A616AE">
        <w:rPr>
          <w:rFonts w:asciiTheme="minorHAnsi" w:hAnsiTheme="minorHAnsi" w:cstheme="minorHAnsi"/>
          <w:sz w:val="20"/>
        </w:rPr>
        <w:br/>
        <w:t>identifikační číslo 00231312,</w:t>
      </w:r>
      <w:r w:rsidRPr="00A616AE">
        <w:rPr>
          <w:rFonts w:asciiTheme="minorHAnsi" w:hAnsiTheme="minorHAnsi" w:cstheme="minorHAnsi"/>
          <w:sz w:val="20"/>
        </w:rPr>
        <w:br/>
        <w:t xml:space="preserve">zastoupená obchodní společností </w:t>
      </w:r>
      <w:r w:rsidRPr="00A616AE">
        <w:rPr>
          <w:rFonts w:asciiTheme="minorHAnsi" w:hAnsiTheme="minorHAnsi" w:cstheme="minorHAnsi"/>
          <w:b/>
          <w:sz w:val="20"/>
        </w:rPr>
        <w:t xml:space="preserve">Správa majetku Praha </w:t>
      </w:r>
      <w:smartTag w:uri="urn:schemas-microsoft-com:office:smarttags" w:element="metricconverter">
        <w:smartTagPr>
          <w:attr w:name="ProductID" w:val="14, a"/>
        </w:smartTagPr>
        <w:r w:rsidRPr="00A616AE">
          <w:rPr>
            <w:rFonts w:asciiTheme="minorHAnsi" w:hAnsiTheme="minorHAnsi" w:cstheme="minorHAnsi"/>
            <w:b/>
            <w:sz w:val="20"/>
          </w:rPr>
          <w:t>14, a</w:t>
        </w:r>
      </w:smartTag>
      <w:r w:rsidRPr="00A616AE">
        <w:rPr>
          <w:rFonts w:asciiTheme="minorHAnsi" w:hAnsiTheme="minorHAnsi" w:cstheme="minorHAnsi"/>
          <w:b/>
          <w:sz w:val="20"/>
        </w:rPr>
        <w:t>.s.</w:t>
      </w:r>
      <w:r w:rsidRPr="00A616AE">
        <w:rPr>
          <w:rFonts w:asciiTheme="minorHAnsi" w:hAnsiTheme="minorHAnsi" w:cstheme="minorHAnsi"/>
          <w:b/>
          <w:sz w:val="20"/>
        </w:rPr>
        <w:br/>
      </w:r>
      <w:r w:rsidRPr="00A616AE">
        <w:rPr>
          <w:rFonts w:asciiTheme="minorHAnsi" w:hAnsiTheme="minorHAnsi" w:cstheme="minorHAnsi"/>
          <w:sz w:val="20"/>
        </w:rPr>
        <w:t>se sídlem Metujská 907, 198 00 Praha 9,</w:t>
      </w:r>
      <w:r w:rsidRPr="00A616AE">
        <w:rPr>
          <w:rFonts w:asciiTheme="minorHAnsi" w:hAnsiTheme="minorHAnsi" w:cstheme="minorHAnsi"/>
          <w:sz w:val="20"/>
        </w:rPr>
        <w:br/>
        <w:t>identifikační číslo 25622684,</w:t>
      </w:r>
      <w:r w:rsidRPr="00A616AE">
        <w:rPr>
          <w:rFonts w:asciiTheme="minorHAnsi" w:hAnsiTheme="minorHAnsi" w:cstheme="minorHAnsi"/>
          <w:sz w:val="20"/>
        </w:rPr>
        <w:br/>
        <w:t xml:space="preserve">zastoupená </w:t>
      </w:r>
      <w:r w:rsidRPr="00A616AE">
        <w:rPr>
          <w:rFonts w:asciiTheme="minorHAnsi" w:hAnsiTheme="minorHAnsi" w:cstheme="minorHAnsi"/>
          <w:b/>
          <w:sz w:val="20"/>
        </w:rPr>
        <w:t>Vladimírem Mitášem</w:t>
      </w:r>
      <w:r w:rsidRPr="00A616AE">
        <w:rPr>
          <w:rFonts w:asciiTheme="minorHAnsi" w:hAnsiTheme="minorHAnsi" w:cstheme="minorHAnsi"/>
          <w:sz w:val="20"/>
        </w:rPr>
        <w:t xml:space="preserve">, </w:t>
      </w:r>
      <w:r w:rsidR="00715727" w:rsidRPr="00A616AE">
        <w:rPr>
          <w:rFonts w:asciiTheme="minorHAnsi" w:hAnsiTheme="minorHAnsi" w:cstheme="minorHAnsi"/>
          <w:sz w:val="20"/>
        </w:rPr>
        <w:t>členem</w:t>
      </w:r>
      <w:r w:rsidRPr="00A616AE">
        <w:rPr>
          <w:rFonts w:asciiTheme="minorHAnsi" w:hAnsiTheme="minorHAnsi" w:cstheme="minorHAnsi"/>
          <w:sz w:val="20"/>
        </w:rPr>
        <w:t xml:space="preserve"> představenstva</w:t>
      </w:r>
      <w:r w:rsidR="003F09BD" w:rsidRPr="00A616AE">
        <w:rPr>
          <w:rFonts w:asciiTheme="minorHAnsi" w:hAnsiTheme="minorHAnsi" w:cstheme="minorHAnsi"/>
          <w:sz w:val="20"/>
        </w:rPr>
        <w:t>/</w:t>
      </w:r>
      <w:r w:rsidR="004D31E6" w:rsidRPr="00A616AE">
        <w:rPr>
          <w:rFonts w:asciiTheme="minorHAnsi" w:hAnsiTheme="minorHAnsi" w:cstheme="minorHAnsi"/>
          <w:b/>
          <w:bCs/>
          <w:sz w:val="20"/>
        </w:rPr>
        <w:t>Ing. Karlem Medem</w:t>
      </w:r>
      <w:r w:rsidR="003F09BD" w:rsidRPr="00A616AE">
        <w:rPr>
          <w:rFonts w:asciiTheme="minorHAnsi" w:hAnsiTheme="minorHAnsi" w:cstheme="minorHAnsi"/>
          <w:sz w:val="20"/>
        </w:rPr>
        <w:t xml:space="preserve">, </w:t>
      </w:r>
      <w:r w:rsidR="00715727" w:rsidRPr="00A616AE">
        <w:rPr>
          <w:rFonts w:asciiTheme="minorHAnsi" w:hAnsiTheme="minorHAnsi" w:cstheme="minorHAnsi"/>
          <w:sz w:val="20"/>
        </w:rPr>
        <w:t>předsedou</w:t>
      </w:r>
      <w:r w:rsidR="003F09BD" w:rsidRPr="00A616AE">
        <w:rPr>
          <w:rFonts w:asciiTheme="minorHAnsi" w:hAnsiTheme="minorHAnsi" w:cstheme="minorHAnsi"/>
          <w:sz w:val="20"/>
        </w:rPr>
        <w:t xml:space="preserve"> představenstva/</w:t>
      </w:r>
      <w:r w:rsidR="003F09BD" w:rsidRPr="00A616AE">
        <w:rPr>
          <w:rFonts w:asciiTheme="minorHAnsi" w:hAnsiTheme="minorHAnsi" w:cstheme="minorHAnsi"/>
          <w:b/>
          <w:sz w:val="20"/>
        </w:rPr>
        <w:t xml:space="preserve"> Jiřím Zajacem</w:t>
      </w:r>
      <w:r w:rsidR="003F09BD" w:rsidRPr="00A616AE">
        <w:rPr>
          <w:rFonts w:asciiTheme="minorHAnsi" w:hAnsiTheme="minorHAnsi" w:cstheme="minorHAnsi"/>
          <w:sz w:val="20"/>
        </w:rPr>
        <w:t xml:space="preserve">, </w:t>
      </w:r>
      <w:r w:rsidRPr="00A616AE">
        <w:rPr>
          <w:rFonts w:asciiTheme="minorHAnsi" w:hAnsiTheme="minorHAnsi" w:cstheme="minorHAnsi"/>
          <w:sz w:val="20"/>
        </w:rPr>
        <w:t>členem představenstva</w:t>
      </w:r>
      <w:r w:rsidRPr="00A616AE">
        <w:rPr>
          <w:rFonts w:asciiTheme="minorHAnsi" w:hAnsiTheme="minorHAnsi" w:cstheme="minorHAnsi"/>
          <w:sz w:val="20"/>
        </w:rPr>
        <w:br/>
      </w:r>
      <w:r w:rsidR="00830A00" w:rsidRPr="00A616AE">
        <w:rPr>
          <w:rFonts w:asciiTheme="minorHAnsi" w:hAnsiTheme="minorHAnsi" w:cstheme="minorHAnsi"/>
          <w:i/>
          <w:sz w:val="20"/>
        </w:rPr>
        <w:t>(dále jen „postupitel“ nebo „MČP14“)</w:t>
      </w:r>
    </w:p>
    <w:p w14:paraId="4585F53E" w14:textId="3DC3AE96" w:rsidR="0076734F" w:rsidRPr="00A616AE" w:rsidRDefault="0076734F" w:rsidP="00830A00">
      <w:pPr>
        <w:pStyle w:val="slovanseznam"/>
        <w:numPr>
          <w:ilvl w:val="0"/>
          <w:numId w:val="0"/>
        </w:numPr>
        <w:spacing w:before="0"/>
        <w:ind w:left="576"/>
        <w:jc w:val="left"/>
        <w:rPr>
          <w:rFonts w:asciiTheme="minorHAnsi" w:hAnsiTheme="minorHAnsi" w:cstheme="minorHAnsi"/>
        </w:rPr>
      </w:pPr>
    </w:p>
    <w:p w14:paraId="3F1E17F3" w14:textId="77777777" w:rsidR="0076734F" w:rsidRPr="00A616AE" w:rsidRDefault="0076734F" w:rsidP="0076734F">
      <w:pPr>
        <w:pStyle w:val="slovanseznam"/>
        <w:numPr>
          <w:ilvl w:val="0"/>
          <w:numId w:val="0"/>
        </w:numPr>
        <w:tabs>
          <w:tab w:val="num" w:pos="889"/>
        </w:tabs>
        <w:spacing w:before="0"/>
        <w:ind w:left="709"/>
        <w:jc w:val="left"/>
        <w:rPr>
          <w:rFonts w:asciiTheme="minorHAnsi" w:hAnsiTheme="minorHAnsi" w:cstheme="minorHAnsi"/>
          <w:i/>
        </w:rPr>
      </w:pPr>
    </w:p>
    <w:p w14:paraId="788D4784" w14:textId="6669C90B" w:rsidR="00555F22" w:rsidRPr="00A616AE" w:rsidRDefault="00FB2CD4" w:rsidP="00FB2CD4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b/>
          <w:bCs/>
          <w:sz w:val="20"/>
        </w:rPr>
      </w:pPr>
      <w:r w:rsidRPr="00A616AE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4D31E6" w:rsidRPr="00A616AE">
        <w:rPr>
          <w:rFonts w:asciiTheme="minorHAnsi" w:hAnsiTheme="minorHAnsi" w:cstheme="minorHAnsi"/>
          <w:b/>
          <w:bCs/>
          <w:sz w:val="20"/>
          <w:highlight w:val="yellow"/>
        </w:rPr>
        <w:t>[</w:t>
      </w:r>
      <w:r w:rsidR="004D31E6" w:rsidRPr="00A616AE">
        <w:rPr>
          <w:rFonts w:asciiTheme="minorHAnsi" w:hAnsiTheme="minorHAnsi" w:cstheme="minorHAnsi"/>
          <w:b/>
          <w:bCs/>
          <w:sz w:val="20"/>
        </w:rPr>
        <w:t>bude doplněno</w:t>
      </w:r>
      <w:r w:rsidR="004D31E6" w:rsidRPr="00A616AE">
        <w:rPr>
          <w:rFonts w:asciiTheme="minorHAnsi" w:hAnsiTheme="minorHAnsi" w:cstheme="minorHAnsi"/>
          <w:b/>
          <w:bCs/>
          <w:sz w:val="20"/>
          <w:highlight w:val="yellow"/>
        </w:rPr>
        <w:t>]</w:t>
      </w:r>
    </w:p>
    <w:p w14:paraId="3EB080CF" w14:textId="6E77D964" w:rsidR="004D31E6" w:rsidRPr="00A616AE" w:rsidRDefault="00555F22" w:rsidP="004D31E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sz w:val="20"/>
        </w:rPr>
        <w:t xml:space="preserve">nar. </w:t>
      </w:r>
      <w:r w:rsidR="004D31E6" w:rsidRPr="00A616AE">
        <w:rPr>
          <w:rFonts w:asciiTheme="minorHAnsi" w:hAnsiTheme="minorHAnsi" w:cstheme="minorHAnsi"/>
          <w:sz w:val="20"/>
          <w:highlight w:val="yellow"/>
        </w:rPr>
        <w:t>[</w:t>
      </w:r>
      <w:r w:rsidR="004D31E6" w:rsidRPr="00A616AE">
        <w:rPr>
          <w:rFonts w:asciiTheme="minorHAnsi" w:hAnsiTheme="minorHAnsi" w:cstheme="minorHAnsi"/>
          <w:sz w:val="20"/>
        </w:rPr>
        <w:t>bude doplněno</w:t>
      </w:r>
      <w:r w:rsidR="004D31E6" w:rsidRPr="00A616AE">
        <w:rPr>
          <w:rFonts w:asciiTheme="minorHAnsi" w:hAnsiTheme="minorHAnsi" w:cstheme="minorHAnsi"/>
          <w:sz w:val="20"/>
          <w:highlight w:val="yellow"/>
        </w:rPr>
        <w:t>]</w:t>
      </w:r>
    </w:p>
    <w:p w14:paraId="783F8A1F" w14:textId="10511642" w:rsidR="0076734F" w:rsidRPr="00A616AE" w:rsidRDefault="004D31E6" w:rsidP="004D31E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sz w:val="20"/>
          <w:highlight w:val="yellow"/>
        </w:rPr>
        <w:t>[</w:t>
      </w:r>
      <w:r w:rsidRPr="00A616AE">
        <w:rPr>
          <w:rFonts w:asciiTheme="minorHAnsi" w:hAnsiTheme="minorHAnsi" w:cstheme="minorHAnsi"/>
          <w:sz w:val="20"/>
        </w:rPr>
        <w:t>bude doplněno</w:t>
      </w:r>
      <w:r w:rsidRPr="00A616AE">
        <w:rPr>
          <w:rFonts w:asciiTheme="minorHAnsi" w:hAnsiTheme="minorHAnsi" w:cstheme="minorHAnsi"/>
          <w:sz w:val="20"/>
          <w:highlight w:val="yellow"/>
        </w:rPr>
        <w:t>]</w:t>
      </w:r>
      <w:r w:rsidR="0076734F" w:rsidRPr="00A616AE">
        <w:rPr>
          <w:rFonts w:asciiTheme="minorHAnsi" w:hAnsiTheme="minorHAnsi" w:cstheme="minorHAnsi"/>
          <w:sz w:val="20"/>
        </w:rPr>
        <w:br/>
      </w:r>
      <w:r w:rsidR="0076734F" w:rsidRPr="00A616AE">
        <w:rPr>
          <w:rFonts w:asciiTheme="minorHAnsi" w:hAnsiTheme="minorHAnsi" w:cstheme="minorHAnsi"/>
          <w:i/>
          <w:sz w:val="20"/>
        </w:rPr>
        <w:t>(dále jen „postupník“)</w:t>
      </w:r>
    </w:p>
    <w:p w14:paraId="38A2AF0A" w14:textId="77777777" w:rsidR="0076734F" w:rsidRPr="00A616AE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</w:rPr>
      </w:pPr>
    </w:p>
    <w:p w14:paraId="78B86F39" w14:textId="69F50937" w:rsidR="00231DB4" w:rsidRPr="00A616AE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</w:rPr>
      </w:pPr>
      <w:r w:rsidRPr="00A616AE">
        <w:rPr>
          <w:rFonts w:asciiTheme="minorHAnsi" w:hAnsiTheme="minorHAnsi" w:cstheme="minorHAnsi"/>
          <w:i/>
          <w:sz w:val="20"/>
        </w:rPr>
        <w:t>(společně dále jen „účastníci smlouvy“ nebo „smluvní strany“)</w:t>
      </w:r>
    </w:p>
    <w:p w14:paraId="61B12794" w14:textId="1176804C" w:rsidR="0076734F" w:rsidRPr="00A616AE" w:rsidRDefault="00860CC5" w:rsidP="00FB2CD4">
      <w:pPr>
        <w:pStyle w:val="Nadpis1"/>
        <w:rPr>
          <w:rFonts w:asciiTheme="minorHAnsi" w:hAnsiTheme="minorHAnsi" w:cstheme="minorHAnsi"/>
          <w:szCs w:val="28"/>
        </w:rPr>
      </w:pPr>
      <w:bookmarkStart w:id="3" w:name="_Hlk55747770"/>
      <w:bookmarkEnd w:id="1"/>
      <w:r>
        <w:rPr>
          <w:rFonts w:asciiTheme="minorHAnsi" w:hAnsiTheme="minorHAnsi" w:cstheme="minorHAnsi"/>
          <w:szCs w:val="28"/>
        </w:rPr>
        <w:t xml:space="preserve">  </w:t>
      </w:r>
      <w:r w:rsidR="0076734F" w:rsidRPr="00A616AE">
        <w:rPr>
          <w:rFonts w:asciiTheme="minorHAnsi" w:hAnsiTheme="minorHAnsi" w:cstheme="minorHAnsi"/>
          <w:szCs w:val="28"/>
        </w:rPr>
        <w:t>Úvodní ustanovení</w:t>
      </w:r>
    </w:p>
    <w:p w14:paraId="6F300E05" w14:textId="77777777" w:rsidR="00677A01" w:rsidRPr="00A616AE" w:rsidRDefault="00677A01" w:rsidP="00FB2CD4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bookmarkStart w:id="4" w:name="_Hlk55748561"/>
      <w:bookmarkEnd w:id="3"/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vykonává na základě § 17 obecně závazné vyhlášky hlavního města Prahy č. 55/2000 Sb., kterou vydává Statut hlavního města Prahy při nakládáním se svěřeným majetkem hlavního města Prahy, všechna práva a povinnosti vlastníka a rozhoduje o všech majetkoprávních úkonech v plném rozsahu, a to i k pohledávkám v této smlouvě uvedeným.</w:t>
      </w:r>
    </w:p>
    <w:p w14:paraId="105000EC" w14:textId="646E04A6" w:rsidR="00830A00" w:rsidRPr="00A616AE" w:rsidRDefault="00830A00" w:rsidP="00830A00">
      <w:pPr>
        <w:pStyle w:val="Nadpis2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cs-CZ"/>
        </w:rPr>
      </w:pPr>
      <w:bookmarkStart w:id="5" w:name="_Hlk175123695"/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Mezi postupitelem a </w:t>
      </w:r>
      <w:r w:rsidRPr="00860CC5">
        <w:rPr>
          <w:rFonts w:asciiTheme="minorHAnsi" w:eastAsia="Times New Roman" w:hAnsiTheme="minorHAnsi" w:cstheme="minorHAnsi"/>
          <w:color w:val="auto"/>
          <w:sz w:val="20"/>
          <w:szCs w:val="20"/>
          <w:highlight w:val="black"/>
          <w:lang w:eastAsia="cs-CZ"/>
        </w:rPr>
        <w:t>Karlem Slabochem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, IČO: </w:t>
      </w:r>
      <w:r w:rsidRPr="00860CC5">
        <w:rPr>
          <w:rFonts w:asciiTheme="minorHAnsi" w:eastAsia="Times New Roman" w:hAnsiTheme="minorHAnsi" w:cstheme="minorHAnsi"/>
          <w:color w:val="auto"/>
          <w:sz w:val="20"/>
          <w:szCs w:val="20"/>
          <w:highlight w:val="black"/>
          <w:lang w:eastAsia="cs-CZ"/>
        </w:rPr>
        <w:t>73753661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se sídlem Kaprova 42/14, 110 00 Praha 1 (dále také jen „</w:t>
      </w:r>
      <w:r w:rsidRPr="00A616AE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dlužník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“ nebo „</w:t>
      </w:r>
      <w:r w:rsidRPr="00860CC5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highlight w:val="black"/>
          <w:lang w:eastAsia="cs-CZ"/>
        </w:rPr>
        <w:t>Karel Slaboch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“), byla dne 28. 1. 2015 uzavřena Smlouva o nájmu prostoru sloužícího podnikání č. 0013/2015/SMP14/1070 („</w:t>
      </w:r>
      <w:r w:rsidRPr="00A616AE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nájemní smlouva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“) a dále byla dne 3. 6. 2019 uvařena mezi MČP14, společností Správa majetku Praha 14, a.s. a Karlem Slabochem dohoda o změně nájemní smlouvy, na základě, které do nájemní smlouvy, s účinností od 1. 6. 2019, vstoupila namísto MČP14, společnost Správa majetku Praha 14, a. s. (dále jen „</w:t>
      </w:r>
      <w:r w:rsidRPr="00A616AE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podnájemní smlouva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“). </w:t>
      </w:r>
      <w:r w:rsidR="004B392C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Pohledávky,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jak jsou v této smlouvě vymezeny, pochází z podnájemní smlouvy a na MČP14 byla postoupena od společnosti Správa majetku Praha 14, a.s. Smlouvou o postoupení pohledávky č.j. 0574/2023/SMP14/1100 ze dne 18. 10. 2023.</w:t>
      </w:r>
    </w:p>
    <w:p w14:paraId="0E592CDB" w14:textId="6A20B701" w:rsidR="00D876C7" w:rsidRPr="00860CC5" w:rsidRDefault="0076734F" w:rsidP="00860CC5">
      <w:pPr>
        <w:pStyle w:val="slovanseznam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sz w:val="20"/>
        </w:rPr>
        <w:t>Postupitel prohlašuje, že eviduje vůči nájemc</w:t>
      </w:r>
      <w:r w:rsidR="00742E4E" w:rsidRPr="00A616AE">
        <w:rPr>
          <w:rFonts w:asciiTheme="minorHAnsi" w:hAnsiTheme="minorHAnsi" w:cstheme="minorHAnsi"/>
          <w:sz w:val="20"/>
        </w:rPr>
        <w:t>i</w:t>
      </w:r>
      <w:r w:rsidRPr="00A616AE">
        <w:rPr>
          <w:rFonts w:asciiTheme="minorHAnsi" w:hAnsiTheme="minorHAnsi" w:cstheme="minorHAnsi"/>
          <w:sz w:val="20"/>
        </w:rPr>
        <w:t xml:space="preserve"> </w:t>
      </w:r>
      <w:r w:rsidR="002C0E4B" w:rsidRPr="00A616AE">
        <w:rPr>
          <w:rFonts w:asciiTheme="minorHAnsi" w:hAnsiTheme="minorHAnsi" w:cstheme="minorHAnsi"/>
          <w:sz w:val="20"/>
        </w:rPr>
        <w:t>pohledávku v celkové výši</w:t>
      </w:r>
      <w:r w:rsidR="00A46B17" w:rsidRPr="00A616AE">
        <w:rPr>
          <w:rFonts w:asciiTheme="minorHAnsi" w:hAnsiTheme="minorHAnsi" w:cstheme="minorHAnsi"/>
          <w:sz w:val="20"/>
        </w:rPr>
        <w:t xml:space="preserve"> </w:t>
      </w:r>
      <w:r w:rsidR="00616075" w:rsidRPr="00A616AE">
        <w:rPr>
          <w:rFonts w:asciiTheme="minorHAnsi" w:hAnsiTheme="minorHAnsi" w:cstheme="minorHAnsi"/>
          <w:b/>
          <w:bCs/>
          <w:sz w:val="20"/>
        </w:rPr>
        <w:t>401 276,4 Kč</w:t>
      </w:r>
      <w:r w:rsidR="002C0E4B" w:rsidRPr="00A616AE">
        <w:rPr>
          <w:rFonts w:asciiTheme="minorHAnsi" w:hAnsiTheme="minorHAnsi" w:cstheme="minorHAnsi"/>
          <w:sz w:val="20"/>
        </w:rPr>
        <w:t xml:space="preserve">, která </w:t>
      </w:r>
      <w:r w:rsidR="00D11799" w:rsidRPr="00A616AE">
        <w:rPr>
          <w:rFonts w:asciiTheme="minorHAnsi" w:hAnsiTheme="minorHAnsi" w:cstheme="minorHAnsi"/>
          <w:sz w:val="20"/>
        </w:rPr>
        <w:t xml:space="preserve">se váže k nájmu dle </w:t>
      </w:r>
      <w:r w:rsidR="00A358DE">
        <w:rPr>
          <w:rFonts w:asciiTheme="minorHAnsi" w:hAnsiTheme="minorHAnsi" w:cstheme="minorHAnsi"/>
          <w:sz w:val="20"/>
        </w:rPr>
        <w:t>pod</w:t>
      </w:r>
      <w:r w:rsidR="00D11799" w:rsidRPr="00A616AE">
        <w:rPr>
          <w:rFonts w:asciiTheme="minorHAnsi" w:hAnsiTheme="minorHAnsi" w:cstheme="minorHAnsi"/>
          <w:sz w:val="20"/>
        </w:rPr>
        <w:t>nájemní smlouvy a</w:t>
      </w:r>
      <w:r w:rsidR="002C0E4B" w:rsidRPr="00A616AE">
        <w:rPr>
          <w:rFonts w:asciiTheme="minorHAnsi" w:hAnsiTheme="minorHAnsi" w:cstheme="minorHAnsi"/>
          <w:sz w:val="20"/>
        </w:rPr>
        <w:t xml:space="preserve"> skládá </w:t>
      </w:r>
      <w:r w:rsidR="00D11799" w:rsidRPr="00A616AE">
        <w:rPr>
          <w:rFonts w:asciiTheme="minorHAnsi" w:hAnsiTheme="minorHAnsi" w:cstheme="minorHAnsi"/>
          <w:sz w:val="20"/>
        </w:rPr>
        <w:t xml:space="preserve">se </w:t>
      </w:r>
      <w:r w:rsidR="002C0E4B" w:rsidRPr="00A616AE">
        <w:rPr>
          <w:rFonts w:asciiTheme="minorHAnsi" w:hAnsiTheme="minorHAnsi" w:cstheme="minorHAnsi"/>
          <w:sz w:val="20"/>
        </w:rPr>
        <w:t>z těchto částek</w:t>
      </w:r>
      <w:r w:rsidRPr="00A616AE">
        <w:rPr>
          <w:rFonts w:asciiTheme="minorHAnsi" w:hAnsiTheme="minorHAnsi" w:cstheme="minorHAnsi"/>
          <w:sz w:val="20"/>
        </w:rPr>
        <w:t>:</w:t>
      </w:r>
    </w:p>
    <w:p w14:paraId="54F5931F" w14:textId="5E840016" w:rsidR="00616075" w:rsidRPr="00A616AE" w:rsidRDefault="00616075" w:rsidP="00616075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sz w:val="20"/>
        </w:rPr>
        <w:t xml:space="preserve">Částka </w:t>
      </w:r>
      <w:r w:rsidRPr="00A616AE">
        <w:rPr>
          <w:rFonts w:asciiTheme="minorHAnsi" w:hAnsiTheme="minorHAnsi" w:cstheme="minorHAnsi"/>
          <w:b/>
          <w:bCs/>
          <w:sz w:val="20"/>
        </w:rPr>
        <w:t>82 789,2 Kč</w:t>
      </w:r>
      <w:r w:rsidRPr="00A616AE">
        <w:rPr>
          <w:rFonts w:asciiTheme="minorHAnsi" w:hAnsiTheme="minorHAnsi" w:cstheme="minorHAnsi"/>
          <w:sz w:val="20"/>
        </w:rPr>
        <w:t xml:space="preserve"> </w:t>
      </w:r>
      <w:r w:rsidR="00A616AE">
        <w:rPr>
          <w:rFonts w:asciiTheme="minorHAnsi" w:hAnsiTheme="minorHAnsi" w:cstheme="minorHAnsi"/>
          <w:sz w:val="20"/>
        </w:rPr>
        <w:t xml:space="preserve">částečně </w:t>
      </w:r>
      <w:r w:rsidRPr="00A616AE">
        <w:rPr>
          <w:rFonts w:asciiTheme="minorHAnsi" w:hAnsiTheme="minorHAnsi" w:cstheme="minorHAnsi"/>
          <w:sz w:val="20"/>
        </w:rPr>
        <w:t>přiznaná výrokem č. I rozsudku Obvodního soudu pro Prahu 1 č. j.: 14 C 122/2021-53 ze dne 26. 1. 2022 jako kapitalizovanou smluvní pokutu od 26. 6. 2020 do 10.12.2025 z dlužné částky 41 540,- Kč</w:t>
      </w:r>
    </w:p>
    <w:p w14:paraId="2DE78178" w14:textId="77777777" w:rsidR="002D6A09" w:rsidRPr="00A616AE" w:rsidRDefault="002D6A09" w:rsidP="002D6A09">
      <w:pPr>
        <w:pStyle w:val="slovanseznam"/>
        <w:numPr>
          <w:ilvl w:val="0"/>
          <w:numId w:val="0"/>
        </w:numPr>
        <w:ind w:left="709" w:hanging="709"/>
        <w:rPr>
          <w:rFonts w:asciiTheme="minorHAnsi" w:hAnsiTheme="minorHAnsi" w:cstheme="minorHAnsi"/>
          <w:sz w:val="20"/>
        </w:rPr>
      </w:pPr>
    </w:p>
    <w:p w14:paraId="3991C4CB" w14:textId="77777777" w:rsidR="002D6A09" w:rsidRPr="00A616AE" w:rsidRDefault="002D6A09" w:rsidP="002D6A09">
      <w:pPr>
        <w:pStyle w:val="slovanseznam"/>
        <w:numPr>
          <w:ilvl w:val="0"/>
          <w:numId w:val="0"/>
        </w:numPr>
        <w:ind w:left="709" w:hanging="709"/>
        <w:rPr>
          <w:rFonts w:asciiTheme="minorHAnsi" w:hAnsiTheme="minorHAnsi" w:cstheme="minorHAnsi"/>
          <w:sz w:val="20"/>
        </w:rPr>
      </w:pPr>
    </w:p>
    <w:p w14:paraId="747C72EF" w14:textId="77777777" w:rsidR="002D6A09" w:rsidRPr="00A616AE" w:rsidRDefault="002D6A09" w:rsidP="002D6A09">
      <w:pPr>
        <w:pStyle w:val="slovanseznam"/>
        <w:numPr>
          <w:ilvl w:val="0"/>
          <w:numId w:val="0"/>
        </w:numPr>
        <w:ind w:left="709" w:hanging="709"/>
        <w:rPr>
          <w:rFonts w:asciiTheme="minorHAnsi" w:hAnsiTheme="minorHAnsi" w:cstheme="minorHAnsi"/>
          <w:sz w:val="20"/>
        </w:rPr>
      </w:pPr>
    </w:p>
    <w:p w14:paraId="6EF68351" w14:textId="72C53879" w:rsidR="00E13111" w:rsidRPr="00A616AE" w:rsidRDefault="00E13111" w:rsidP="00616075">
      <w:pPr>
        <w:contextualSpacing/>
        <w:jc w:val="both"/>
        <w:rPr>
          <w:rFonts w:cstheme="minorHAnsi"/>
          <w:sz w:val="20"/>
          <w:szCs w:val="20"/>
        </w:rPr>
      </w:pPr>
    </w:p>
    <w:p w14:paraId="5C96FD9B" w14:textId="5C4BDCC4" w:rsidR="00616075" w:rsidRPr="00860CC5" w:rsidRDefault="00616075" w:rsidP="00860CC5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sz w:val="20"/>
        </w:rPr>
        <w:lastRenderedPageBreak/>
        <w:t xml:space="preserve">Částka </w:t>
      </w:r>
      <w:r w:rsidRPr="00A616AE">
        <w:rPr>
          <w:rFonts w:asciiTheme="minorHAnsi" w:hAnsiTheme="minorHAnsi" w:cstheme="minorHAnsi"/>
          <w:b/>
          <w:bCs/>
          <w:sz w:val="20"/>
        </w:rPr>
        <w:t>81 543,-</w:t>
      </w:r>
      <w:r w:rsidRPr="00A616AE">
        <w:rPr>
          <w:rFonts w:asciiTheme="minorHAnsi" w:hAnsiTheme="minorHAnsi" w:cstheme="minorHAnsi"/>
          <w:sz w:val="20"/>
        </w:rPr>
        <w:t xml:space="preserve"> </w:t>
      </w:r>
      <w:r w:rsidRPr="00A616AE">
        <w:rPr>
          <w:rFonts w:asciiTheme="minorHAnsi" w:hAnsiTheme="minorHAnsi" w:cstheme="minorHAnsi"/>
          <w:b/>
          <w:bCs/>
          <w:sz w:val="20"/>
        </w:rPr>
        <w:t>Kč</w:t>
      </w:r>
      <w:r w:rsidRPr="00A616AE">
        <w:rPr>
          <w:rFonts w:asciiTheme="minorHAnsi" w:hAnsiTheme="minorHAnsi" w:cstheme="minorHAnsi"/>
          <w:sz w:val="20"/>
        </w:rPr>
        <w:t xml:space="preserve"> </w:t>
      </w:r>
      <w:r w:rsidR="00A616AE">
        <w:rPr>
          <w:rFonts w:asciiTheme="minorHAnsi" w:hAnsiTheme="minorHAnsi" w:cstheme="minorHAnsi"/>
          <w:sz w:val="20"/>
        </w:rPr>
        <w:t xml:space="preserve">částečně </w:t>
      </w:r>
      <w:r w:rsidRPr="00A616AE">
        <w:rPr>
          <w:rFonts w:asciiTheme="minorHAnsi" w:hAnsiTheme="minorHAnsi" w:cstheme="minorHAnsi"/>
          <w:sz w:val="20"/>
        </w:rPr>
        <w:t>přiznaná výrokem č. I rozsudku Obvodního soudu pro Prahu 1 č. j.: 14 C 122/2021-53 ze dne 26. 1. 2022 jako kapitalizovanou smluvní pokutu od 26. 7. 2020 do 10.12.2025 z dlužné částky 41 540,- Kč</w:t>
      </w:r>
    </w:p>
    <w:p w14:paraId="6084F71A" w14:textId="30E7DCC9" w:rsidR="00616075" w:rsidRPr="00A616AE" w:rsidRDefault="00616075" w:rsidP="00616075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sz w:val="20"/>
        </w:rPr>
        <w:t xml:space="preserve">Částka </w:t>
      </w:r>
      <w:r w:rsidRPr="00A616AE">
        <w:rPr>
          <w:rFonts w:asciiTheme="minorHAnsi" w:hAnsiTheme="minorHAnsi" w:cstheme="minorHAnsi"/>
          <w:b/>
          <w:bCs/>
          <w:sz w:val="20"/>
        </w:rPr>
        <w:t>80 255,3 Kč</w:t>
      </w:r>
      <w:r w:rsidRPr="00A616AE">
        <w:rPr>
          <w:rFonts w:asciiTheme="minorHAnsi" w:hAnsiTheme="minorHAnsi" w:cstheme="minorHAnsi"/>
          <w:sz w:val="20"/>
        </w:rPr>
        <w:t xml:space="preserve"> </w:t>
      </w:r>
      <w:r w:rsidR="00A616AE">
        <w:rPr>
          <w:rFonts w:asciiTheme="minorHAnsi" w:hAnsiTheme="minorHAnsi" w:cstheme="minorHAnsi"/>
          <w:sz w:val="20"/>
        </w:rPr>
        <w:t xml:space="preserve">částečně </w:t>
      </w:r>
      <w:r w:rsidRPr="00A616AE">
        <w:rPr>
          <w:rFonts w:asciiTheme="minorHAnsi" w:hAnsiTheme="minorHAnsi" w:cstheme="minorHAnsi"/>
          <w:sz w:val="20"/>
        </w:rPr>
        <w:t>přiznaná výrokem č. I rozsudku Obvodního soudu pro Prahu 1 č. j.: 14 C 122/2021-53 ze dne 26. 1. 2022 jako kapitalizovanou smluvní pokutu od 26. 8. 2020 do 10.12.2025 z dlužné částky 41 540,- Kč</w:t>
      </w:r>
    </w:p>
    <w:bookmarkEnd w:id="4"/>
    <w:p w14:paraId="57204687" w14:textId="4A0DCD68" w:rsidR="00616075" w:rsidRPr="00A616AE" w:rsidRDefault="00616075" w:rsidP="00616075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sz w:val="20"/>
        </w:rPr>
        <w:t xml:space="preserve">Částka </w:t>
      </w:r>
      <w:r w:rsidRPr="00A616AE">
        <w:rPr>
          <w:rFonts w:asciiTheme="minorHAnsi" w:hAnsiTheme="minorHAnsi" w:cstheme="minorHAnsi"/>
          <w:b/>
          <w:bCs/>
          <w:sz w:val="20"/>
        </w:rPr>
        <w:t>78 967, 5 Kč</w:t>
      </w:r>
      <w:r w:rsidRPr="00A616AE">
        <w:rPr>
          <w:rFonts w:asciiTheme="minorHAnsi" w:hAnsiTheme="minorHAnsi" w:cstheme="minorHAnsi"/>
          <w:sz w:val="20"/>
        </w:rPr>
        <w:t xml:space="preserve"> </w:t>
      </w:r>
      <w:r w:rsidR="00A616AE">
        <w:rPr>
          <w:rFonts w:asciiTheme="minorHAnsi" w:hAnsiTheme="minorHAnsi" w:cstheme="minorHAnsi"/>
          <w:sz w:val="20"/>
        </w:rPr>
        <w:t xml:space="preserve">částečně </w:t>
      </w:r>
      <w:r w:rsidRPr="00A616AE">
        <w:rPr>
          <w:rFonts w:asciiTheme="minorHAnsi" w:hAnsiTheme="minorHAnsi" w:cstheme="minorHAnsi"/>
          <w:sz w:val="20"/>
        </w:rPr>
        <w:t>přiznaná výrokem č. I rozsudku Obvodního soudu pro Prahu 1 č. j.: 14 C 122/2021-53 ze dne 26. 1. 2022 jako kapitalizovanou smluvní pokutu od 26. 9. 2020 do 10.12.2025 z dlužné částky 41 540,- Kč</w:t>
      </w:r>
    </w:p>
    <w:p w14:paraId="26598E22" w14:textId="771BCA0F" w:rsidR="00616075" w:rsidRPr="00860CC5" w:rsidRDefault="00616075" w:rsidP="00860CC5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sz w:val="20"/>
        </w:rPr>
        <w:t xml:space="preserve">Částka </w:t>
      </w:r>
      <w:r w:rsidRPr="00A616AE">
        <w:rPr>
          <w:rFonts w:asciiTheme="minorHAnsi" w:hAnsiTheme="minorHAnsi" w:cstheme="minorHAnsi"/>
          <w:b/>
          <w:bCs/>
          <w:sz w:val="20"/>
        </w:rPr>
        <w:t>77 721,34 Kč</w:t>
      </w:r>
      <w:r w:rsidRPr="00A616AE">
        <w:rPr>
          <w:rFonts w:asciiTheme="minorHAnsi" w:hAnsiTheme="minorHAnsi" w:cstheme="minorHAnsi"/>
          <w:sz w:val="20"/>
        </w:rPr>
        <w:t xml:space="preserve"> </w:t>
      </w:r>
      <w:r w:rsidR="00A616AE">
        <w:rPr>
          <w:rFonts w:asciiTheme="minorHAnsi" w:hAnsiTheme="minorHAnsi" w:cstheme="minorHAnsi"/>
          <w:sz w:val="20"/>
        </w:rPr>
        <w:t xml:space="preserve">částečně </w:t>
      </w:r>
      <w:r w:rsidRPr="00A616AE">
        <w:rPr>
          <w:rFonts w:asciiTheme="minorHAnsi" w:hAnsiTheme="minorHAnsi" w:cstheme="minorHAnsi"/>
          <w:sz w:val="20"/>
        </w:rPr>
        <w:t>přiznaná výrokem č. I rozsudku Obvodního soudu pro Prahu 1 č. j.: 14 C 122/2021-53 ze dne 26. 1. 2022 jako kapitalizovanou smluvní pokutu od 26. 10. 2020 do 10.12.2025 z dlužné částky 41 540,- Kč</w:t>
      </w:r>
    </w:p>
    <w:p w14:paraId="047DE769" w14:textId="477801BE" w:rsidR="00B8568B" w:rsidRPr="00A616AE" w:rsidRDefault="00B8568B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má zájem o postoupení pohledávek uvedených v odst. 2.</w:t>
      </w:r>
      <w:r w:rsidR="00B17EB3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2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  <w:r w:rsidR="00B17EB3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, 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v celkové výši </w:t>
      </w:r>
      <w:r w:rsidR="00616075" w:rsidRPr="00A616AE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401 276,4 Kč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za podmínek dále stanovených touto smlouvou.</w:t>
      </w:r>
    </w:p>
    <w:bookmarkEnd w:id="5"/>
    <w:p w14:paraId="5974AEEA" w14:textId="0C770A02" w:rsidR="00040342" w:rsidRPr="00A616AE" w:rsidRDefault="00860CC5" w:rsidP="00A616AE">
      <w:pPr>
        <w:pStyle w:val="Nadpis1"/>
        <w:keepNext w:val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</w:t>
      </w:r>
      <w:r w:rsidR="00040342" w:rsidRPr="00A616AE">
        <w:rPr>
          <w:rFonts w:asciiTheme="minorHAnsi" w:hAnsiTheme="minorHAnsi" w:cstheme="minorHAnsi"/>
          <w:szCs w:val="28"/>
        </w:rPr>
        <w:t>Předmět smlouvy, práva a povinností účastníků</w:t>
      </w:r>
    </w:p>
    <w:p w14:paraId="19ADC23E" w14:textId="1CB3940B" w:rsidR="00040342" w:rsidRPr="00A616AE" w:rsidRDefault="00040342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pohledávky uvedené v odst. 2.1. této smlouvy postupuje postupníkovi včetně jejich příslušenství a všech práv s nimi spojených. Postupník za podmínek uvedených v této smlouvě postoupenou pohledávku od postupitele přijímá včetně příslušenství a se všemi právy s nimi spojenými. Postupník prohlašuje, že tyto pohledávky přijímá i za situace, že jsou pohledávky promlčené, popřípadě, že jsou budoucí, nejisté nebo nedobytné.</w:t>
      </w:r>
    </w:p>
    <w:p w14:paraId="7F23259E" w14:textId="523DAEAB" w:rsidR="00040342" w:rsidRPr="00A616AE" w:rsidRDefault="00040342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Postoupení pohledávek se sjednává jako úplatné. Za postoupení pohledávek dle této smlouvy se zavazuje postupník zaplatit postupiteli kupní cenu ve výši </w:t>
      </w:r>
      <w:r w:rsidR="003D2EAA" w:rsidRPr="00A616AE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9D21CD" w:rsidRPr="00A616AE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,-</w:t>
      </w:r>
      <w:r w:rsidR="009D21CD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Kč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, a to nejpozději do 7 dní od podpisu této smlouvy na účet postupitele č. </w:t>
      </w:r>
      <w:r w:rsidR="003B4C20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049023-9800050998/6000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pod VS:</w:t>
      </w:r>
      <w:r w:rsidR="003D2EAA" w:rsidRPr="00A616AE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3D2EAA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</w:p>
    <w:p w14:paraId="3B7A679A" w14:textId="1D666DE2" w:rsidR="00040342" w:rsidRPr="00A616AE" w:rsidRDefault="00040342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bookmarkStart w:id="6" w:name="_Hlk55809191"/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se stává vůči dlužníkům uvedeným v odst. 2.1. této smlouvy věřitelem z postoupených pohledávek namísto postupitele (tj. předmětné pohledávky přejdou do vlastnictví postupníka), a to dnem nabytí platnosti a účinnosti této smlouvy.</w:t>
      </w:r>
    </w:p>
    <w:p w14:paraId="52ECEBD3" w14:textId="46E8A432" w:rsidR="00040342" w:rsidRPr="00A616AE" w:rsidRDefault="00040342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se zavazuje dlužníkům uvedeným v odst. 2.1. této smlouvy oznámit postoupení pohledávek, a to bez zbytečného odkladu po</w:t>
      </w:r>
      <w:r w:rsidR="003D2EAA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podpisu této smlouvy, a to tak, že odešle písemn</w:t>
      </w:r>
      <w:r w:rsidR="00A834ED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é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oznámení formou doporučené zásilky na poslední známou adresu dlužníků</w:t>
      </w:r>
      <w:r w:rsidR="0013013F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i když je zřejmé, že na těchto adresách se dlužníci již nezdržují. Postupník toto bere na vědomí.</w:t>
      </w:r>
    </w:p>
    <w:p w14:paraId="00E8FAE6" w14:textId="74403BD7" w:rsidR="0096005C" w:rsidRPr="00A616AE" w:rsidRDefault="00040342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se zavazuje, že předá při podpisu této smlouvy postupníkovi všechny dostupné dokumenty, které dokazují právní důvod pohledávek uvedených v odst. 2.1. této smlouvy</w:t>
      </w:r>
      <w:r w:rsidR="0096005C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 Seznam podkladů bude uveden v předávacím protokolu</w:t>
      </w:r>
      <w:r w:rsidR="0013013F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který tvoří přílohu č. 1 k této smlouvě.</w:t>
      </w:r>
    </w:p>
    <w:p w14:paraId="38E04967" w14:textId="77777777" w:rsidR="005D07F7" w:rsidRPr="00A616AE" w:rsidRDefault="0096005C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výslovně prohlašuje, že byl dostatečně seznámen se všemi doklady a dokumenty uvedenými v odst. 3.5. tohoto článku smlouvy</w:t>
      </w:r>
      <w:r w:rsidR="005D07F7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a je podrobně seznámen s právním důvodem vzniku postoupených pohledávek, a to ještě před podpisem této smlouvy a před předáním těchto dokumentů dle předávacího protokolu.</w:t>
      </w:r>
      <w:r w:rsidR="00742E4E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</w:p>
    <w:p w14:paraId="4732DD64" w14:textId="5E5E59A0" w:rsidR="0096005C" w:rsidRPr="00A616AE" w:rsidRDefault="00742E4E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si je taktéž vědom toho, že k některým pohledávkám nejsou k</w:t>
      </w:r>
      <w:r w:rsidR="005D07F7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 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dispozici</w:t>
      </w:r>
      <w:r w:rsidR="005D07F7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originály listin nebo dokonce</w:t>
      </w: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žádné listinné podklady</w:t>
      </w:r>
      <w:r w:rsidR="005D07F7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a dále bere postupník na vědomí, že </w:t>
      </w:r>
      <w:r w:rsidR="003F09BD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postupitel ve své evidenci eviduje pohledávky v takové výši, jak jsou uvedeny v této smlouvě, ale takto evidovaná výše pohledávky nemusí odpovídat zcela nebo zčásti skutečné výši pohledávky a podkladům, které jsou postupníkovi předány. </w:t>
      </w:r>
    </w:p>
    <w:p w14:paraId="1E7F38D4" w14:textId="290827BD" w:rsidR="0096005C" w:rsidRPr="00A616AE" w:rsidRDefault="0096005C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neručí v žádném rozsahu za dobytnost postupovaných pohledávek a neručí ani za existenci postupovaných pohledávek</w:t>
      </w:r>
      <w:r w:rsidR="003F09BD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a to zejména s ohledem na přesné označení a vyčíslení postupované pohledávky.</w:t>
      </w:r>
      <w:r w:rsidR="0034757F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Postupník bere zejména také na vědomí, že postoupené pohledávky vzhledem ke svému stáří a absenci řádného vyčíslení a podkladů, jsou prakticky nedobytné.</w:t>
      </w:r>
    </w:p>
    <w:p w14:paraId="70B9E876" w14:textId="335FFAEB" w:rsidR="00976397" w:rsidRPr="00A616AE" w:rsidRDefault="0096005C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a postupník se dohodli, že postupitel nebude vymáhat postoupené pohledávky svým jménem na účet postupníka.</w:t>
      </w:r>
    </w:p>
    <w:p w14:paraId="52E7E3DA" w14:textId="54BD69D1" w:rsidR="00976397" w:rsidRPr="00860CC5" w:rsidRDefault="00976397" w:rsidP="00A616AE">
      <w:pPr>
        <w:pStyle w:val="Nadpis2"/>
        <w:keepNext w:val="0"/>
        <w:keepLines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lastRenderedPageBreak/>
        <w:t>Postupitel prohlašuje, že na danou pohledávku je vedené exekuční řízení, a to u soudního exekutora Mgr. Zuzany Grosamové (Exekutorský úřad pro Prahu 6) pod spisovou zn.: 180 EX 6846/22</w:t>
      </w:r>
      <w:r w:rsidR="00830A00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s tím, že doposud nedošlo k procesním krokům ohledně změny oprávněného dle Smlouvy o postoupení pohledávky č.j. 0574/2023/SMP14/1100 ze dne 18. 10. 2023.</w:t>
      </w:r>
    </w:p>
    <w:p w14:paraId="403BAF5E" w14:textId="7E057DCD" w:rsidR="0096005C" w:rsidRPr="00A616AE" w:rsidRDefault="00860CC5" w:rsidP="00A616AE">
      <w:pPr>
        <w:pStyle w:val="Nadpis1"/>
        <w:keepNext w:val="0"/>
        <w:rPr>
          <w:rFonts w:asciiTheme="minorHAnsi" w:hAnsiTheme="minorHAnsi" w:cstheme="minorHAnsi"/>
          <w:szCs w:val="28"/>
        </w:rPr>
      </w:pPr>
      <w:bookmarkStart w:id="7" w:name="_Hlk55809055"/>
      <w:bookmarkEnd w:id="6"/>
      <w:r>
        <w:rPr>
          <w:rFonts w:asciiTheme="minorHAnsi" w:hAnsiTheme="minorHAnsi" w:cstheme="minorHAnsi"/>
          <w:szCs w:val="28"/>
        </w:rPr>
        <w:t xml:space="preserve">  </w:t>
      </w:r>
      <w:r w:rsidR="0096005C" w:rsidRPr="00A616AE">
        <w:rPr>
          <w:rFonts w:asciiTheme="minorHAnsi" w:hAnsiTheme="minorHAnsi" w:cstheme="minorHAnsi"/>
          <w:szCs w:val="28"/>
        </w:rPr>
        <w:t>Závěrečná ustanovení</w:t>
      </w:r>
    </w:p>
    <w:p w14:paraId="3C851656" w14:textId="59E22D32" w:rsidR="0096005C" w:rsidRPr="00A616AE" w:rsidRDefault="00AF4597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Uzavření této smlouvy bylo schváleno usnesením Rady městské části Praha 14 č.</w:t>
      </w:r>
      <w:r w:rsidR="00861D42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 </w:t>
      </w:r>
      <w:r w:rsidR="00206FC1" w:rsidRPr="00A616AE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206FC1"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</w:p>
    <w:p w14:paraId="64866351" w14:textId="0B7ADE43" w:rsidR="00AF4597" w:rsidRPr="00A616AE" w:rsidRDefault="00AF4597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 podléhá zveřejní v registru smluv. Zveřejnění zajistí postupitel.</w:t>
      </w:r>
    </w:p>
    <w:p w14:paraId="0958643F" w14:textId="77777777" w:rsidR="00AF4597" w:rsidRPr="00A616AE" w:rsidRDefault="00AF4597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je oprávněn odstoupit od smlouvy bez uvedení důvodu.</w:t>
      </w:r>
    </w:p>
    <w:p w14:paraId="62970FE3" w14:textId="77777777" w:rsidR="00AF4597" w:rsidRPr="00A616AE" w:rsidRDefault="0096005C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Změny této smlouvy lze činit pouze po dohodě obou stran písemnou formou. </w:t>
      </w:r>
    </w:p>
    <w:p w14:paraId="215E1249" w14:textId="77777777" w:rsidR="00AF4597" w:rsidRPr="00A616AE" w:rsidRDefault="0096005C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smlouva, jakož i práva a povinnosti vzniklé na základě této smlouvy nebo v souvislosti s ní, se řídí zákonem č. 89/2012 Sb., občanský zákoník a ostatními právními předpisy České republiky.</w:t>
      </w:r>
    </w:p>
    <w:p w14:paraId="54B24474" w14:textId="77777777" w:rsidR="00AF4597" w:rsidRPr="00A616AE" w:rsidRDefault="0096005C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Jsou-li, nebo stanou-li se, některá ustanovení této smlouvy zcela nebo zčásti neplatnými, nebo pokud by v této smlouvě některá ustanovení chyběla, není tím dotčena platnost ostatních ustanovení smlouvy. Namísto neplatného nebo chybějícího ustanovení smlouvy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E0FB431" w14:textId="77777777" w:rsidR="005A7271" w:rsidRPr="00A616AE" w:rsidRDefault="005A7271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 je uzavřena ve třech (3) vyhotoveních, z nichž postupník obdrží jedno (1) vyhotovení a postupitel dvě vyhotovení (2).</w:t>
      </w:r>
    </w:p>
    <w:p w14:paraId="6303143D" w14:textId="2D4B2BA9" w:rsidR="0096005C" w:rsidRPr="00A616AE" w:rsidRDefault="0096005C" w:rsidP="00A616AE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A616AE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4CB35DDE" w14:textId="1824F6C7" w:rsidR="0096005C" w:rsidRPr="00A616AE" w:rsidRDefault="0096005C" w:rsidP="00A616AE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bookmarkEnd w:id="7"/>
    <w:p w14:paraId="193BAE01" w14:textId="77777777" w:rsidR="004902F9" w:rsidRPr="00A616AE" w:rsidRDefault="004902F9" w:rsidP="00A616AE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7"/>
        <w:gridCol w:w="4535"/>
      </w:tblGrid>
      <w:tr w:rsidR="004902F9" w:rsidRPr="00A616AE" w14:paraId="03A1B1E3" w14:textId="77777777" w:rsidTr="0014157A">
        <w:tc>
          <w:tcPr>
            <w:tcW w:w="4606" w:type="dxa"/>
          </w:tcPr>
          <w:p w14:paraId="218F0A39" w14:textId="77777777" w:rsidR="004902F9" w:rsidRPr="00A616AE" w:rsidRDefault="004902F9" w:rsidP="00A616AE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A616AE">
              <w:rPr>
                <w:rFonts w:cstheme="minorHAnsi"/>
                <w:sz w:val="20"/>
                <w:szCs w:val="20"/>
              </w:rPr>
              <w:t xml:space="preserve">V Praze dne:  </w:t>
            </w:r>
          </w:p>
        </w:tc>
        <w:tc>
          <w:tcPr>
            <w:tcW w:w="4606" w:type="dxa"/>
          </w:tcPr>
          <w:p w14:paraId="0787E67B" w14:textId="77777777" w:rsidR="004902F9" w:rsidRPr="00A616AE" w:rsidRDefault="004902F9" w:rsidP="00A616AE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A616AE">
              <w:rPr>
                <w:rFonts w:cstheme="minorHAnsi"/>
                <w:sz w:val="20"/>
                <w:szCs w:val="20"/>
              </w:rPr>
              <w:t xml:space="preserve">      V Praze dne:</w:t>
            </w:r>
          </w:p>
        </w:tc>
      </w:tr>
    </w:tbl>
    <w:p w14:paraId="6D320397" w14:textId="77777777" w:rsidR="004902F9" w:rsidRPr="00A616AE" w:rsidRDefault="004902F9" w:rsidP="00A616AE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</w:rPr>
      </w:pPr>
    </w:p>
    <w:p w14:paraId="32C0A58D" w14:textId="77777777" w:rsidR="004902F9" w:rsidRPr="00A616AE" w:rsidRDefault="004902F9" w:rsidP="00A616AE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bookmarkStart w:id="8" w:name="_Hlk55809103"/>
    </w:p>
    <w:p w14:paraId="239BE911" w14:textId="77777777" w:rsidR="004902F9" w:rsidRPr="00A616AE" w:rsidRDefault="004902F9" w:rsidP="00A616AE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</w:rPr>
      </w:pPr>
      <w:r w:rsidRPr="00A616AE">
        <w:rPr>
          <w:rFonts w:asciiTheme="minorHAnsi" w:hAnsiTheme="minorHAnsi" w:cstheme="minorHAnsi"/>
          <w:b/>
          <w:bCs/>
          <w:sz w:val="20"/>
        </w:rPr>
        <w:t>Postupitel</w:t>
      </w:r>
      <w:r w:rsidRPr="00A616AE">
        <w:rPr>
          <w:rFonts w:asciiTheme="minorHAnsi" w:hAnsiTheme="minorHAnsi" w:cstheme="minorHAnsi"/>
          <w:sz w:val="20"/>
        </w:rPr>
        <w:t xml:space="preserve">_________________________                 </w:t>
      </w:r>
      <w:r w:rsidRPr="00A616AE">
        <w:rPr>
          <w:rFonts w:asciiTheme="minorHAnsi" w:hAnsiTheme="minorHAnsi" w:cstheme="minorHAnsi"/>
          <w:sz w:val="20"/>
        </w:rPr>
        <w:tab/>
        <w:t xml:space="preserve"> </w:t>
      </w:r>
      <w:r w:rsidRPr="00A616AE">
        <w:rPr>
          <w:rFonts w:asciiTheme="minorHAnsi" w:hAnsiTheme="minorHAnsi" w:cstheme="minorHAnsi"/>
          <w:b/>
          <w:bCs/>
          <w:sz w:val="20"/>
        </w:rPr>
        <w:t>Postupník</w:t>
      </w:r>
      <w:r w:rsidRPr="00A616AE">
        <w:rPr>
          <w:rFonts w:asciiTheme="minorHAnsi" w:hAnsiTheme="minorHAnsi" w:cstheme="minorHAnsi"/>
          <w:sz w:val="20"/>
        </w:rPr>
        <w:t>_________________________</w:t>
      </w:r>
    </w:p>
    <w:bookmarkEnd w:id="8"/>
    <w:p w14:paraId="2F48F8A9" w14:textId="77777777" w:rsidR="004902F9" w:rsidRPr="00A616AE" w:rsidRDefault="004902F9" w:rsidP="00A616AE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</w:rPr>
      </w:pPr>
    </w:p>
    <w:p w14:paraId="3571E487" w14:textId="4A1E0070" w:rsidR="00E01ECF" w:rsidRPr="00A616AE" w:rsidRDefault="00E01ECF" w:rsidP="00A616AE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i/>
          <w:iCs/>
        </w:rPr>
      </w:pPr>
    </w:p>
    <w:sectPr w:rsidR="00E01ECF" w:rsidRPr="00A616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7123" w14:textId="77777777" w:rsidR="00FF0499" w:rsidRDefault="00FF0499" w:rsidP="00AF4597">
      <w:pPr>
        <w:spacing w:after="0" w:line="240" w:lineRule="auto"/>
      </w:pPr>
      <w:r>
        <w:separator/>
      </w:r>
    </w:p>
  </w:endnote>
  <w:endnote w:type="continuationSeparator" w:id="0">
    <w:p w14:paraId="117945DD" w14:textId="77777777" w:rsidR="00FF0499" w:rsidRDefault="00FF0499" w:rsidP="00AF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3911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424CD5" w14:textId="171A9412" w:rsidR="00AF4597" w:rsidRDefault="00AF45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7E5A2" w14:textId="77777777" w:rsidR="00AF4597" w:rsidRDefault="00AF4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7102" w14:textId="77777777" w:rsidR="00FF0499" w:rsidRDefault="00FF0499" w:rsidP="00AF4597">
      <w:pPr>
        <w:spacing w:after="0" w:line="240" w:lineRule="auto"/>
      </w:pPr>
      <w:r>
        <w:separator/>
      </w:r>
    </w:p>
  </w:footnote>
  <w:footnote w:type="continuationSeparator" w:id="0">
    <w:p w14:paraId="1F938A80" w14:textId="77777777" w:rsidR="00FF0499" w:rsidRDefault="00FF0499" w:rsidP="00AF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24CF" w14:textId="5FF21EAB" w:rsidR="005A7271" w:rsidRDefault="005A7271" w:rsidP="005A7271">
    <w:pPr>
      <w:pStyle w:val="Zhlav"/>
    </w:pPr>
    <w:r>
      <w:tab/>
    </w:r>
    <w:r w:rsidR="00861D42">
      <w:t xml:space="preserve">                                                                                                                             </w:t>
    </w:r>
    <w:r>
      <w:t xml:space="preserve">Č.s.: </w:t>
    </w:r>
    <w:r w:rsidR="00861D42">
      <w:t xml:space="preserve">                                      </w:t>
    </w:r>
  </w:p>
  <w:p w14:paraId="4C355A3F" w14:textId="77777777" w:rsidR="005A7271" w:rsidRDefault="005A7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DE1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E10E9"/>
    <w:multiLevelType w:val="hybridMultilevel"/>
    <w:tmpl w:val="5D282E2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D78DD"/>
    <w:multiLevelType w:val="hybridMultilevel"/>
    <w:tmpl w:val="21341FBA"/>
    <w:lvl w:ilvl="0" w:tplc="7E96C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07629"/>
    <w:multiLevelType w:val="multilevel"/>
    <w:tmpl w:val="5BF2B9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ED5662"/>
    <w:multiLevelType w:val="hybridMultilevel"/>
    <w:tmpl w:val="522495F0"/>
    <w:lvl w:ilvl="0" w:tplc="800E2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26919"/>
    <w:multiLevelType w:val="multilevel"/>
    <w:tmpl w:val="A7CEF9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A632A9"/>
    <w:multiLevelType w:val="multilevel"/>
    <w:tmpl w:val="4A08ABBC"/>
    <w:styleLink w:val="Styl1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1409D3"/>
    <w:multiLevelType w:val="hybridMultilevel"/>
    <w:tmpl w:val="264CB85E"/>
    <w:lvl w:ilvl="0" w:tplc="F962C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A0D6C"/>
    <w:multiLevelType w:val="hybridMultilevel"/>
    <w:tmpl w:val="85D6C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F68D4"/>
    <w:multiLevelType w:val="multilevel"/>
    <w:tmpl w:val="C7885E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F906C5"/>
    <w:multiLevelType w:val="hybridMultilevel"/>
    <w:tmpl w:val="498E3910"/>
    <w:lvl w:ilvl="0" w:tplc="CC160DCA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FA2D00"/>
    <w:multiLevelType w:val="hybridMultilevel"/>
    <w:tmpl w:val="BE10E384"/>
    <w:lvl w:ilvl="0" w:tplc="7DE8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F14D5"/>
    <w:multiLevelType w:val="hybridMultilevel"/>
    <w:tmpl w:val="D34C8C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7A604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EE272E"/>
    <w:multiLevelType w:val="hybridMultilevel"/>
    <w:tmpl w:val="1584B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F26B7"/>
    <w:multiLevelType w:val="hybridMultilevel"/>
    <w:tmpl w:val="475E4796"/>
    <w:lvl w:ilvl="0" w:tplc="F4E6E3A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110050"/>
    <w:multiLevelType w:val="hybridMultilevel"/>
    <w:tmpl w:val="0C629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344D4"/>
    <w:multiLevelType w:val="hybridMultilevel"/>
    <w:tmpl w:val="2F40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6896"/>
    <w:multiLevelType w:val="hybridMultilevel"/>
    <w:tmpl w:val="7882881C"/>
    <w:lvl w:ilvl="0" w:tplc="3954C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651BC"/>
    <w:multiLevelType w:val="multilevel"/>
    <w:tmpl w:val="76C24E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slovanseznam"/>
      <w:lvlText w:val="%1.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6AAB757D"/>
    <w:multiLevelType w:val="hybridMultilevel"/>
    <w:tmpl w:val="844E2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3291E"/>
    <w:multiLevelType w:val="hybridMultilevel"/>
    <w:tmpl w:val="1584B0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365A8"/>
    <w:multiLevelType w:val="hybridMultilevel"/>
    <w:tmpl w:val="76FC303C"/>
    <w:lvl w:ilvl="0" w:tplc="F2344DF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0946E3"/>
    <w:multiLevelType w:val="hybridMultilevel"/>
    <w:tmpl w:val="EF182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553B9"/>
    <w:multiLevelType w:val="hybridMultilevel"/>
    <w:tmpl w:val="16843C7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609124445">
    <w:abstractNumId w:val="20"/>
  </w:num>
  <w:num w:numId="2" w16cid:durableId="102726582">
    <w:abstractNumId w:val="0"/>
  </w:num>
  <w:num w:numId="3" w16cid:durableId="1677994828">
    <w:abstractNumId w:val="23"/>
  </w:num>
  <w:num w:numId="4" w16cid:durableId="158470251">
    <w:abstractNumId w:val="16"/>
  </w:num>
  <w:num w:numId="5" w16cid:durableId="2125149682">
    <w:abstractNumId w:val="2"/>
  </w:num>
  <w:num w:numId="6" w16cid:durableId="1653440127">
    <w:abstractNumId w:val="11"/>
  </w:num>
  <w:num w:numId="7" w16cid:durableId="1667827458">
    <w:abstractNumId w:val="6"/>
  </w:num>
  <w:num w:numId="8" w16cid:durableId="1094671316">
    <w:abstractNumId w:val="25"/>
  </w:num>
  <w:num w:numId="9" w16cid:durableId="917783670">
    <w:abstractNumId w:val="3"/>
  </w:num>
  <w:num w:numId="10" w16cid:durableId="1018657784">
    <w:abstractNumId w:val="12"/>
  </w:num>
  <w:num w:numId="11" w16cid:durableId="454063681">
    <w:abstractNumId w:val="5"/>
  </w:num>
  <w:num w:numId="12" w16cid:durableId="56174426">
    <w:abstractNumId w:val="19"/>
  </w:num>
  <w:num w:numId="13" w16cid:durableId="1457680502">
    <w:abstractNumId w:val="21"/>
  </w:num>
  <w:num w:numId="14" w16cid:durableId="1030104189">
    <w:abstractNumId w:val="15"/>
  </w:num>
  <w:num w:numId="15" w16cid:durableId="596668867">
    <w:abstractNumId w:val="22"/>
  </w:num>
  <w:num w:numId="16" w16cid:durableId="1987127534">
    <w:abstractNumId w:val="8"/>
  </w:num>
  <w:num w:numId="17" w16cid:durableId="2106613075">
    <w:abstractNumId w:val="9"/>
  </w:num>
  <w:num w:numId="18" w16cid:durableId="904489406">
    <w:abstractNumId w:val="24"/>
  </w:num>
  <w:num w:numId="19" w16cid:durableId="182330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448622">
    <w:abstractNumId w:val="7"/>
  </w:num>
  <w:num w:numId="21" w16cid:durableId="1278834028">
    <w:abstractNumId w:val="1"/>
  </w:num>
  <w:num w:numId="22" w16cid:durableId="702444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0273617">
    <w:abstractNumId w:val="18"/>
  </w:num>
  <w:num w:numId="24" w16cid:durableId="1991055763">
    <w:abstractNumId w:val="13"/>
  </w:num>
  <w:num w:numId="25" w16cid:durableId="1467313959">
    <w:abstractNumId w:val="4"/>
  </w:num>
  <w:num w:numId="26" w16cid:durableId="1546990113">
    <w:abstractNumId w:val="10"/>
  </w:num>
  <w:num w:numId="27" w16cid:durableId="1747530753">
    <w:abstractNumId w:val="14"/>
  </w:num>
  <w:num w:numId="28" w16cid:durableId="1457066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F"/>
    <w:rsid w:val="0001634D"/>
    <w:rsid w:val="00021C90"/>
    <w:rsid w:val="00040342"/>
    <w:rsid w:val="00042FC9"/>
    <w:rsid w:val="00055F6B"/>
    <w:rsid w:val="0005685F"/>
    <w:rsid w:val="000632EE"/>
    <w:rsid w:val="000B69EE"/>
    <w:rsid w:val="0013013F"/>
    <w:rsid w:val="00132F2C"/>
    <w:rsid w:val="001477C4"/>
    <w:rsid w:val="001564A8"/>
    <w:rsid w:val="00165F52"/>
    <w:rsid w:val="00174414"/>
    <w:rsid w:val="00183FFE"/>
    <w:rsid w:val="001C057B"/>
    <w:rsid w:val="001E26EA"/>
    <w:rsid w:val="00206FC1"/>
    <w:rsid w:val="00231DB4"/>
    <w:rsid w:val="00234A79"/>
    <w:rsid w:val="00256EAB"/>
    <w:rsid w:val="00271B74"/>
    <w:rsid w:val="00293C2E"/>
    <w:rsid w:val="002C0DCB"/>
    <w:rsid w:val="002C0E4B"/>
    <w:rsid w:val="002C7022"/>
    <w:rsid w:val="002D6A09"/>
    <w:rsid w:val="00335B5F"/>
    <w:rsid w:val="0034757F"/>
    <w:rsid w:val="003527CF"/>
    <w:rsid w:val="00397D41"/>
    <w:rsid w:val="003B4C20"/>
    <w:rsid w:val="003C054B"/>
    <w:rsid w:val="003C6F49"/>
    <w:rsid w:val="003D2EAA"/>
    <w:rsid w:val="003E5535"/>
    <w:rsid w:val="003F09BD"/>
    <w:rsid w:val="00410F29"/>
    <w:rsid w:val="004113EB"/>
    <w:rsid w:val="00426799"/>
    <w:rsid w:val="00445C94"/>
    <w:rsid w:val="00450687"/>
    <w:rsid w:val="004514BA"/>
    <w:rsid w:val="00453B8B"/>
    <w:rsid w:val="0046748D"/>
    <w:rsid w:val="0047601E"/>
    <w:rsid w:val="00486967"/>
    <w:rsid w:val="004902F9"/>
    <w:rsid w:val="004B392C"/>
    <w:rsid w:val="004D31E6"/>
    <w:rsid w:val="004D66CB"/>
    <w:rsid w:val="004E70FF"/>
    <w:rsid w:val="00522E61"/>
    <w:rsid w:val="00533C09"/>
    <w:rsid w:val="00551F7E"/>
    <w:rsid w:val="005530C0"/>
    <w:rsid w:val="00555F22"/>
    <w:rsid w:val="005572BF"/>
    <w:rsid w:val="00590881"/>
    <w:rsid w:val="005A7271"/>
    <w:rsid w:val="005B0533"/>
    <w:rsid w:val="005D07F7"/>
    <w:rsid w:val="005E6388"/>
    <w:rsid w:val="005E6B80"/>
    <w:rsid w:val="00604F0E"/>
    <w:rsid w:val="00616075"/>
    <w:rsid w:val="00670AEC"/>
    <w:rsid w:val="00672406"/>
    <w:rsid w:val="00677A01"/>
    <w:rsid w:val="00682C54"/>
    <w:rsid w:val="00684FF7"/>
    <w:rsid w:val="006C692B"/>
    <w:rsid w:val="00715727"/>
    <w:rsid w:val="00742E4E"/>
    <w:rsid w:val="0076734F"/>
    <w:rsid w:val="00776DA3"/>
    <w:rsid w:val="0079033A"/>
    <w:rsid w:val="007A1E0D"/>
    <w:rsid w:val="007B5E93"/>
    <w:rsid w:val="007C6B13"/>
    <w:rsid w:val="007D2115"/>
    <w:rsid w:val="007F2CAA"/>
    <w:rsid w:val="007F7CDF"/>
    <w:rsid w:val="00802DB9"/>
    <w:rsid w:val="0081748D"/>
    <w:rsid w:val="00820DC2"/>
    <w:rsid w:val="00822960"/>
    <w:rsid w:val="00830A00"/>
    <w:rsid w:val="00840C12"/>
    <w:rsid w:val="00860CC5"/>
    <w:rsid w:val="00860E98"/>
    <w:rsid w:val="00861D42"/>
    <w:rsid w:val="008D3943"/>
    <w:rsid w:val="008F0114"/>
    <w:rsid w:val="00914625"/>
    <w:rsid w:val="0096005C"/>
    <w:rsid w:val="00966598"/>
    <w:rsid w:val="00973061"/>
    <w:rsid w:val="00974C34"/>
    <w:rsid w:val="00976397"/>
    <w:rsid w:val="009A1683"/>
    <w:rsid w:val="009B3FF4"/>
    <w:rsid w:val="009D21CD"/>
    <w:rsid w:val="00A3112C"/>
    <w:rsid w:val="00A358DE"/>
    <w:rsid w:val="00A46B17"/>
    <w:rsid w:val="00A52C99"/>
    <w:rsid w:val="00A616AE"/>
    <w:rsid w:val="00A834ED"/>
    <w:rsid w:val="00AA1704"/>
    <w:rsid w:val="00AB0B8F"/>
    <w:rsid w:val="00AB4CEF"/>
    <w:rsid w:val="00AF4597"/>
    <w:rsid w:val="00AF6D80"/>
    <w:rsid w:val="00B10502"/>
    <w:rsid w:val="00B1395A"/>
    <w:rsid w:val="00B152E4"/>
    <w:rsid w:val="00B1662B"/>
    <w:rsid w:val="00B17EB3"/>
    <w:rsid w:val="00B229BB"/>
    <w:rsid w:val="00B34C2A"/>
    <w:rsid w:val="00B42D22"/>
    <w:rsid w:val="00B6526A"/>
    <w:rsid w:val="00B66494"/>
    <w:rsid w:val="00B81090"/>
    <w:rsid w:val="00B83A27"/>
    <w:rsid w:val="00B8568B"/>
    <w:rsid w:val="00BD4D89"/>
    <w:rsid w:val="00C0245D"/>
    <w:rsid w:val="00C155B7"/>
    <w:rsid w:val="00C304A1"/>
    <w:rsid w:val="00C53296"/>
    <w:rsid w:val="00C80C5C"/>
    <w:rsid w:val="00CA349C"/>
    <w:rsid w:val="00CC755A"/>
    <w:rsid w:val="00D01232"/>
    <w:rsid w:val="00D11799"/>
    <w:rsid w:val="00D26531"/>
    <w:rsid w:val="00D4197E"/>
    <w:rsid w:val="00D876C7"/>
    <w:rsid w:val="00D96762"/>
    <w:rsid w:val="00DA65A4"/>
    <w:rsid w:val="00DB6958"/>
    <w:rsid w:val="00DC4E3F"/>
    <w:rsid w:val="00DD3619"/>
    <w:rsid w:val="00DF6A3D"/>
    <w:rsid w:val="00DF7658"/>
    <w:rsid w:val="00E01ECF"/>
    <w:rsid w:val="00E01FE3"/>
    <w:rsid w:val="00E13111"/>
    <w:rsid w:val="00E140DE"/>
    <w:rsid w:val="00E224A2"/>
    <w:rsid w:val="00E419A7"/>
    <w:rsid w:val="00E70073"/>
    <w:rsid w:val="00E74623"/>
    <w:rsid w:val="00E84C0B"/>
    <w:rsid w:val="00EC784D"/>
    <w:rsid w:val="00ED1726"/>
    <w:rsid w:val="00EE0A18"/>
    <w:rsid w:val="00EF6ED3"/>
    <w:rsid w:val="00F156E4"/>
    <w:rsid w:val="00F23A2B"/>
    <w:rsid w:val="00F43576"/>
    <w:rsid w:val="00F713B6"/>
    <w:rsid w:val="00F73E3D"/>
    <w:rsid w:val="00F83008"/>
    <w:rsid w:val="00F96F63"/>
    <w:rsid w:val="00FB2CD4"/>
    <w:rsid w:val="00FC647F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D11CE"/>
  <w15:chartTrackingRefBased/>
  <w15:docId w15:val="{FEE4881B-4C4E-41BF-9E92-5889B4B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76734F"/>
    <w:pPr>
      <w:keepNext/>
      <w:numPr>
        <w:numId w:val="27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2CD4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CD4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CD4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CD4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CD4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CD4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CD4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CD4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734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semiHidden/>
    <w:rsid w:val="0076734F"/>
    <w:pPr>
      <w:numPr>
        <w:ilvl w:val="1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semiHidden/>
    <w:rsid w:val="0076734F"/>
    <w:pPr>
      <w:numPr>
        <w:ilvl w:val="2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semiHidden/>
    <w:rsid w:val="0076734F"/>
    <w:pPr>
      <w:numPr>
        <w:ilvl w:val="3"/>
        <w:numId w:val="1"/>
      </w:numPr>
      <w:tabs>
        <w:tab w:val="num" w:pos="2268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semiHidden/>
    <w:rsid w:val="0076734F"/>
    <w:pPr>
      <w:numPr>
        <w:ilvl w:val="4"/>
        <w:numId w:val="1"/>
      </w:numPr>
      <w:tabs>
        <w:tab w:val="num" w:pos="3261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semiHidden/>
    <w:rsid w:val="0076734F"/>
    <w:pPr>
      <w:numPr>
        <w:ilvl w:val="5"/>
        <w:numId w:val="1"/>
      </w:numPr>
      <w:tabs>
        <w:tab w:val="num" w:pos="4395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76734F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76734F"/>
    <w:rPr>
      <w:rFonts w:ascii="Cambria" w:eastAsia="Times New Roman" w:hAnsi="Cambria" w:cs="Times New Roman"/>
      <w:b/>
      <w:bCs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76734F"/>
    <w:pPr>
      <w:spacing w:before="120" w:after="60" w:line="240" w:lineRule="auto"/>
      <w:jc w:val="center"/>
    </w:pPr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6734F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76734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6734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6734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6734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6734F"/>
    <w:pPr>
      <w:ind w:left="1415" w:hanging="283"/>
      <w:contextualSpacing/>
    </w:pPr>
  </w:style>
  <w:style w:type="paragraph" w:styleId="Normlnweb">
    <w:name w:val="Normal (Web)"/>
    <w:basedOn w:val="Normln"/>
    <w:uiPriority w:val="99"/>
    <w:unhideWhenUsed/>
    <w:rsid w:val="009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005C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597"/>
  </w:style>
  <w:style w:type="paragraph" w:styleId="Zpat">
    <w:name w:val="footer"/>
    <w:basedOn w:val="Normln"/>
    <w:link w:val="Zpat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597"/>
  </w:style>
  <w:style w:type="paragraph" w:styleId="Textbubliny">
    <w:name w:val="Balloon Text"/>
    <w:basedOn w:val="Normln"/>
    <w:link w:val="TextbublinyChar"/>
    <w:uiPriority w:val="99"/>
    <w:semiHidden/>
    <w:unhideWhenUsed/>
    <w:rsid w:val="0048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6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6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6CB"/>
    <w:rPr>
      <w:b/>
      <w:bCs/>
      <w:sz w:val="20"/>
      <w:szCs w:val="20"/>
    </w:rPr>
  </w:style>
  <w:style w:type="numbering" w:customStyle="1" w:styleId="Styl1">
    <w:name w:val="Styl1"/>
    <w:uiPriority w:val="99"/>
    <w:rsid w:val="00B42D22"/>
    <w:pPr>
      <w:numPr>
        <w:numId w:val="2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B2C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C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C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C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0B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Eulália Ševčíková</cp:lastModifiedBy>
  <cp:revision>8</cp:revision>
  <cp:lastPrinted>2025-11-18T12:32:00Z</cp:lastPrinted>
  <dcterms:created xsi:type="dcterms:W3CDTF">2025-11-18T10:01:00Z</dcterms:created>
  <dcterms:modified xsi:type="dcterms:W3CDTF">2025-11-18T13:08:00Z</dcterms:modified>
</cp:coreProperties>
</file>